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C4D6" w14:textId="299DEFB6" w:rsidR="007F7D7D" w:rsidRDefault="007F7D7D" w:rsidP="007F7D7D">
      <w:pPr>
        <w:ind w:left="4956" w:firstLine="708"/>
      </w:pPr>
      <w:r>
        <w:rPr>
          <w:noProof/>
        </w:rPr>
        <w:drawing>
          <wp:inline distT="0" distB="0" distL="0" distR="0" wp14:anchorId="2B01EB17" wp14:editId="75496DE9">
            <wp:extent cx="1299845" cy="1408366"/>
            <wp:effectExtent l="0" t="0" r="0" b="1905"/>
            <wp:docPr id="2" name="Bild 2"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Text, Schrift, Logo, Grafiken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559" cy="1436227"/>
                    </a:xfrm>
                    <a:prstGeom prst="rect">
                      <a:avLst/>
                    </a:prstGeom>
                    <a:noFill/>
                    <a:ln>
                      <a:noFill/>
                    </a:ln>
                  </pic:spPr>
                </pic:pic>
              </a:graphicData>
            </a:graphic>
          </wp:inline>
        </w:drawing>
      </w:r>
    </w:p>
    <w:p w14:paraId="1CFCF368" w14:textId="6410EC67" w:rsidR="007F7D7D" w:rsidRPr="007F7D7D" w:rsidRDefault="007F7D7D" w:rsidP="007F7D7D">
      <w:pPr>
        <w:pStyle w:val="Default"/>
        <w:rPr>
          <w:b/>
          <w:bCs/>
          <w:i/>
          <w:iCs/>
          <w:sz w:val="28"/>
          <w:szCs w:val="28"/>
          <w:u w:val="single"/>
        </w:rPr>
      </w:pPr>
      <w:r w:rsidRPr="007F7D7D">
        <w:rPr>
          <w:b/>
          <w:bCs/>
          <w:i/>
          <w:iCs/>
          <w:sz w:val="28"/>
          <w:szCs w:val="28"/>
          <w:u w:val="single"/>
        </w:rPr>
        <w:t xml:space="preserve">Wie muss eine Betriebsskizze oder ein Betriebsplan aussehen? </w:t>
      </w:r>
    </w:p>
    <w:p w14:paraId="29EC741C" w14:textId="77777777" w:rsidR="007F7D7D" w:rsidRPr="007F7D7D" w:rsidRDefault="007F7D7D" w:rsidP="007F7D7D">
      <w:pPr>
        <w:pStyle w:val="Default"/>
        <w:rPr>
          <w:sz w:val="28"/>
          <w:szCs w:val="28"/>
        </w:rPr>
      </w:pPr>
    </w:p>
    <w:p w14:paraId="7FADAD69" w14:textId="77777777" w:rsidR="007F7D7D" w:rsidRDefault="007F7D7D" w:rsidP="007F7D7D">
      <w:pPr>
        <w:pStyle w:val="Default"/>
        <w:rPr>
          <w:sz w:val="18"/>
          <w:szCs w:val="18"/>
        </w:rPr>
      </w:pPr>
      <w:r w:rsidRPr="007F7D7D">
        <w:rPr>
          <w:sz w:val="18"/>
          <w:szCs w:val="18"/>
          <w:highlight w:val="yellow"/>
        </w:rPr>
        <w:t xml:space="preserve">Eine Betriebsskizze oder ein Betriebsplan muss so aufgebaut sein, dass </w:t>
      </w:r>
      <w:r w:rsidRPr="007F7D7D">
        <w:rPr>
          <w:b/>
          <w:bCs/>
          <w:sz w:val="18"/>
          <w:szCs w:val="18"/>
          <w:highlight w:val="yellow"/>
        </w:rPr>
        <w:t>alle Gebäude inkl. ihrer Funktion sowie alle Anlagen und Lagerstätten für Betriebsmitte</w:t>
      </w:r>
      <w:r w:rsidRPr="007F7D7D">
        <w:rPr>
          <w:sz w:val="18"/>
          <w:szCs w:val="18"/>
          <w:highlight w:val="yellow"/>
        </w:rPr>
        <w:t>l eindeutig zu identifizieren sind</w:t>
      </w:r>
      <w:r>
        <w:rPr>
          <w:sz w:val="18"/>
          <w:szCs w:val="18"/>
        </w:rPr>
        <w:t>.</w:t>
      </w:r>
    </w:p>
    <w:p w14:paraId="0DFF97DF" w14:textId="77777777" w:rsidR="007F7D7D" w:rsidRDefault="007F7D7D" w:rsidP="007F7D7D">
      <w:pPr>
        <w:pStyle w:val="Default"/>
        <w:rPr>
          <w:sz w:val="18"/>
          <w:szCs w:val="18"/>
        </w:rPr>
      </w:pPr>
      <w:r>
        <w:rPr>
          <w:sz w:val="18"/>
          <w:szCs w:val="18"/>
        </w:rPr>
        <w:t xml:space="preserve">Der Betriebsplan kann als Karte, Luftbild, Skizze o. ä. gestaltet sein, wobei Zeichnungen nicht maßstabsgetreu sein müssen. </w:t>
      </w:r>
    </w:p>
    <w:p w14:paraId="2F12A46A" w14:textId="418E5FD7" w:rsidR="007F7D7D" w:rsidRDefault="007F7D7D" w:rsidP="007F7D7D">
      <w:pPr>
        <w:pStyle w:val="Default"/>
        <w:rPr>
          <w:sz w:val="18"/>
          <w:szCs w:val="18"/>
        </w:rPr>
      </w:pPr>
      <w:r>
        <w:rPr>
          <w:sz w:val="18"/>
          <w:szCs w:val="18"/>
        </w:rPr>
        <w:t xml:space="preserve">Grundsätzlich ist jede Form der Dokumentation denkbar, sofern eine eindeutige Zuordnung möglich ist (z. B. Karte mit Erläuterungen und/oder Legende). </w:t>
      </w:r>
    </w:p>
    <w:p w14:paraId="2BBF4A9E" w14:textId="77777777" w:rsidR="007F7D7D" w:rsidRDefault="007F7D7D" w:rsidP="007F7D7D">
      <w:pPr>
        <w:pStyle w:val="Default"/>
        <w:rPr>
          <w:sz w:val="18"/>
          <w:szCs w:val="18"/>
        </w:rPr>
      </w:pPr>
    </w:p>
    <w:p w14:paraId="793A42DB" w14:textId="2CAB15A9" w:rsidR="007F7D7D" w:rsidRDefault="007F7D7D" w:rsidP="007F7D7D">
      <w:pPr>
        <w:pStyle w:val="Default"/>
        <w:rPr>
          <w:sz w:val="18"/>
          <w:szCs w:val="18"/>
        </w:rPr>
      </w:pPr>
      <w:r>
        <w:rPr>
          <w:sz w:val="18"/>
          <w:szCs w:val="18"/>
        </w:rPr>
        <w:t xml:space="preserve">Zu dokumentieren sind </w:t>
      </w:r>
      <w:r w:rsidRPr="007F7D7D">
        <w:rPr>
          <w:b/>
          <w:bCs/>
          <w:sz w:val="18"/>
          <w:szCs w:val="18"/>
        </w:rPr>
        <w:t>z. B</w:t>
      </w:r>
      <w:r>
        <w:rPr>
          <w:sz w:val="18"/>
          <w:szCs w:val="18"/>
        </w:rPr>
        <w:t xml:space="preserve">.: </w:t>
      </w:r>
    </w:p>
    <w:p w14:paraId="2CB079E7" w14:textId="77777777" w:rsidR="007F7D7D" w:rsidRDefault="007F7D7D" w:rsidP="007F7D7D">
      <w:pPr>
        <w:pStyle w:val="Default"/>
        <w:spacing w:after="76"/>
        <w:rPr>
          <w:sz w:val="18"/>
          <w:szCs w:val="18"/>
        </w:rPr>
      </w:pPr>
    </w:p>
    <w:p w14:paraId="4B23CF48" w14:textId="3A6AC265" w:rsidR="007F7D7D" w:rsidRDefault="007F7D7D" w:rsidP="007F7D7D">
      <w:pPr>
        <w:pStyle w:val="Default"/>
        <w:numPr>
          <w:ilvl w:val="0"/>
          <w:numId w:val="1"/>
        </w:numPr>
        <w:spacing w:after="76"/>
        <w:rPr>
          <w:sz w:val="18"/>
          <w:szCs w:val="18"/>
        </w:rPr>
      </w:pPr>
      <w:r>
        <w:rPr>
          <w:sz w:val="18"/>
          <w:szCs w:val="18"/>
        </w:rPr>
        <w:t xml:space="preserve">Stallgebäude bzw. Tierbereiche (inkl. feste Genesungsabteile / -buchten) </w:t>
      </w:r>
    </w:p>
    <w:p w14:paraId="37D3E396" w14:textId="77777777" w:rsidR="007F7D7D" w:rsidRDefault="007F7D7D" w:rsidP="007F7D7D">
      <w:pPr>
        <w:pStyle w:val="Default"/>
        <w:numPr>
          <w:ilvl w:val="0"/>
          <w:numId w:val="1"/>
        </w:numPr>
        <w:spacing w:after="76"/>
        <w:rPr>
          <w:sz w:val="18"/>
          <w:szCs w:val="18"/>
        </w:rPr>
      </w:pPr>
      <w:r>
        <w:rPr>
          <w:sz w:val="18"/>
          <w:szCs w:val="18"/>
        </w:rPr>
        <w:t xml:space="preserve">Lagerstätten für Futtermittel (z. B. Futtersilos, Getreidelager, Lager für Mineralfutter oder Raufutter) </w:t>
      </w:r>
    </w:p>
    <w:p w14:paraId="56CEB095" w14:textId="77777777" w:rsidR="007F7D7D" w:rsidRDefault="007F7D7D" w:rsidP="007F7D7D">
      <w:pPr>
        <w:pStyle w:val="Default"/>
        <w:numPr>
          <w:ilvl w:val="0"/>
          <w:numId w:val="1"/>
        </w:numPr>
        <w:spacing w:after="76"/>
        <w:rPr>
          <w:sz w:val="18"/>
          <w:szCs w:val="18"/>
        </w:rPr>
      </w:pPr>
      <w:r>
        <w:rPr>
          <w:sz w:val="18"/>
          <w:szCs w:val="18"/>
        </w:rPr>
        <w:t xml:space="preserve">Fütterungsanlagen (z. B. Futtermischzentrale von Flüssigfütterungen) </w:t>
      </w:r>
    </w:p>
    <w:p w14:paraId="52591BB8" w14:textId="77777777" w:rsidR="007F7D7D" w:rsidRDefault="007F7D7D" w:rsidP="007F7D7D">
      <w:pPr>
        <w:pStyle w:val="Default"/>
        <w:numPr>
          <w:ilvl w:val="0"/>
          <w:numId w:val="1"/>
        </w:numPr>
        <w:spacing w:after="76"/>
        <w:rPr>
          <w:sz w:val="18"/>
          <w:szCs w:val="18"/>
        </w:rPr>
      </w:pPr>
      <w:r>
        <w:rPr>
          <w:sz w:val="18"/>
          <w:szCs w:val="18"/>
        </w:rPr>
        <w:t xml:space="preserve">Lagerstätten für Einstreu </w:t>
      </w:r>
    </w:p>
    <w:p w14:paraId="3F8948A5" w14:textId="77777777" w:rsidR="007F7D7D" w:rsidRDefault="007F7D7D" w:rsidP="007F7D7D">
      <w:pPr>
        <w:pStyle w:val="Default"/>
        <w:numPr>
          <w:ilvl w:val="0"/>
          <w:numId w:val="1"/>
        </w:numPr>
        <w:spacing w:after="76"/>
        <w:rPr>
          <w:sz w:val="18"/>
          <w:szCs w:val="18"/>
        </w:rPr>
      </w:pPr>
      <w:r>
        <w:rPr>
          <w:sz w:val="18"/>
          <w:szCs w:val="18"/>
        </w:rPr>
        <w:t xml:space="preserve">Arzneimittellager </w:t>
      </w:r>
    </w:p>
    <w:p w14:paraId="10B4C3E0" w14:textId="77777777" w:rsidR="007F7D7D" w:rsidRDefault="007F7D7D" w:rsidP="007F7D7D">
      <w:pPr>
        <w:pStyle w:val="Default"/>
        <w:numPr>
          <w:ilvl w:val="0"/>
          <w:numId w:val="1"/>
        </w:numPr>
        <w:spacing w:after="76"/>
        <w:rPr>
          <w:sz w:val="18"/>
          <w:szCs w:val="18"/>
        </w:rPr>
      </w:pPr>
      <w:r>
        <w:rPr>
          <w:sz w:val="18"/>
          <w:szCs w:val="18"/>
        </w:rPr>
        <w:t xml:space="preserve">Reinigungs- und Desinfektionsmittellager </w:t>
      </w:r>
    </w:p>
    <w:p w14:paraId="01CB2B5D" w14:textId="77777777" w:rsidR="007F7D7D" w:rsidRDefault="007F7D7D" w:rsidP="007F7D7D">
      <w:pPr>
        <w:pStyle w:val="Default"/>
        <w:numPr>
          <w:ilvl w:val="0"/>
          <w:numId w:val="1"/>
        </w:numPr>
        <w:spacing w:after="76"/>
        <w:rPr>
          <w:sz w:val="18"/>
          <w:szCs w:val="18"/>
        </w:rPr>
      </w:pPr>
      <w:r>
        <w:rPr>
          <w:sz w:val="18"/>
          <w:szCs w:val="18"/>
        </w:rPr>
        <w:t xml:space="preserve">Kadaverlager </w:t>
      </w:r>
    </w:p>
    <w:p w14:paraId="6A4B5118" w14:textId="77777777" w:rsidR="007F7D7D" w:rsidRDefault="007F7D7D" w:rsidP="007F7D7D">
      <w:pPr>
        <w:pStyle w:val="Default"/>
        <w:numPr>
          <w:ilvl w:val="0"/>
          <w:numId w:val="1"/>
        </w:numPr>
        <w:spacing w:after="76"/>
        <w:rPr>
          <w:sz w:val="18"/>
          <w:szCs w:val="18"/>
        </w:rPr>
      </w:pPr>
      <w:r>
        <w:rPr>
          <w:sz w:val="18"/>
          <w:szCs w:val="18"/>
        </w:rPr>
        <w:t xml:space="preserve">Stellplätze von betriebseigenen Tiertransportfahrzeugen </w:t>
      </w:r>
    </w:p>
    <w:p w14:paraId="6672FC68" w14:textId="77777777" w:rsidR="007F7D7D" w:rsidRDefault="007F7D7D" w:rsidP="007F7D7D">
      <w:pPr>
        <w:pStyle w:val="Default"/>
        <w:numPr>
          <w:ilvl w:val="0"/>
          <w:numId w:val="1"/>
        </w:numPr>
        <w:spacing w:after="76"/>
        <w:rPr>
          <w:sz w:val="18"/>
          <w:szCs w:val="18"/>
        </w:rPr>
      </w:pPr>
      <w:r>
        <w:rPr>
          <w:sz w:val="18"/>
          <w:szCs w:val="18"/>
        </w:rPr>
        <w:t xml:space="preserve">Hygieneschleusen, die außerhalb des Stallgebäudes liegen </w:t>
      </w:r>
    </w:p>
    <w:p w14:paraId="644A07D5" w14:textId="77777777" w:rsidR="007F7D7D" w:rsidRDefault="007F7D7D" w:rsidP="007F7D7D">
      <w:pPr>
        <w:pStyle w:val="Default"/>
        <w:numPr>
          <w:ilvl w:val="0"/>
          <w:numId w:val="1"/>
        </w:numPr>
        <w:spacing w:after="76"/>
        <w:rPr>
          <w:sz w:val="18"/>
          <w:szCs w:val="18"/>
        </w:rPr>
      </w:pPr>
      <w:r>
        <w:rPr>
          <w:sz w:val="18"/>
          <w:szCs w:val="18"/>
        </w:rPr>
        <w:t xml:space="preserve">Ggf. stationäres Notstromaggregat (sofern vorhanden) </w:t>
      </w:r>
    </w:p>
    <w:p w14:paraId="071B5F5B" w14:textId="77777777" w:rsidR="007F7D7D" w:rsidRDefault="007F7D7D" w:rsidP="007F7D7D">
      <w:pPr>
        <w:pStyle w:val="Default"/>
        <w:numPr>
          <w:ilvl w:val="0"/>
          <w:numId w:val="1"/>
        </w:numPr>
        <w:rPr>
          <w:sz w:val="18"/>
          <w:szCs w:val="18"/>
        </w:rPr>
      </w:pPr>
      <w:r>
        <w:rPr>
          <w:sz w:val="18"/>
          <w:szCs w:val="18"/>
        </w:rPr>
        <w:t xml:space="preserve">Befestigte Verladeeinrichtungen und befestigte Einrichtungen zur Reinigung und Desinfektion von Tiertransportfahrzeugen </w:t>
      </w:r>
    </w:p>
    <w:p w14:paraId="2DBCA2BD" w14:textId="77777777" w:rsidR="007F7D7D" w:rsidRDefault="007F7D7D" w:rsidP="007F7D7D">
      <w:pPr>
        <w:pStyle w:val="Default"/>
        <w:rPr>
          <w:sz w:val="18"/>
          <w:szCs w:val="18"/>
        </w:rPr>
      </w:pPr>
    </w:p>
    <w:p w14:paraId="49A25723" w14:textId="386B0267" w:rsidR="00DA4230" w:rsidRDefault="007F7D7D" w:rsidP="007F7D7D">
      <w:pPr>
        <w:pStyle w:val="Default"/>
      </w:pPr>
      <w:r>
        <w:rPr>
          <w:sz w:val="18"/>
          <w:szCs w:val="18"/>
        </w:rPr>
        <w:t>Externe Gebäude, Anlagen und Lagerstätten für Betriebsmittel, die sich nicht auf dem Hofgelände befinden, aber der Standortnummer zugeordnet sind, müssen ebenfalls berücksichtigt werden. Dies umfasst z. B. Siloballenlager, Feldmieten oder externe Genesungsbuchten. Hier genügen eine grobe Auflistung und Beschreibung/Adresse. Insbesondere bei Betrieben oder Anlagen, zu denen mehrere Standortnummern gehören, muss nachvollziehbar sein, welche Gebäude oder Gebäudeteile zu welcher Standortnummer gehören.</w:t>
      </w:r>
    </w:p>
    <w:sectPr w:rsidR="00DA4230" w:rsidSect="007F7D7D">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73BF03"/>
    <w:multiLevelType w:val="hybridMultilevel"/>
    <w:tmpl w:val="BEA81A3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42245515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D"/>
    <w:rsid w:val="007F7D7D"/>
    <w:rsid w:val="00DA4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FD15"/>
  <w15:chartTrackingRefBased/>
  <w15:docId w15:val="{11ABBDB9-75BB-45D8-97D2-6D0F6775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D7D"/>
    <w:pPr>
      <w:spacing w:line="240" w:lineRule="auto"/>
    </w:pPr>
    <w:rPr>
      <w:rFonts w:ascii="Arial" w:hAnsi="Arial" w:cs="Arial"/>
      <w:kern w:val="0"/>
      <w:sz w:val="17"/>
      <w:szCs w:val="17"/>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7F7D7D"/>
    <w:pPr>
      <w:autoSpaceDE w:val="0"/>
      <w:autoSpaceDN w:val="0"/>
      <w:spacing w:after="0"/>
    </w:pPr>
    <w:rPr>
      <w:rFonts w:ascii="Verdana" w:hAnsi="Verdan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1480</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Broemmer</dc:creator>
  <cp:keywords/>
  <dc:description/>
  <cp:lastModifiedBy>Katja Broemmer</cp:lastModifiedBy>
  <cp:revision>1</cp:revision>
  <dcterms:created xsi:type="dcterms:W3CDTF">2023-06-01T07:27:00Z</dcterms:created>
  <dcterms:modified xsi:type="dcterms:W3CDTF">2023-06-01T07:35:00Z</dcterms:modified>
</cp:coreProperties>
</file>